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E91D62"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5F4671">
        <w:rPr>
          <w:b/>
          <w:bCs/>
          <w:sz w:val="24"/>
          <w:szCs w:val="24"/>
        </w:rPr>
        <w:t xml:space="preserve"> </w:t>
      </w:r>
    </w:p>
    <w:p w:rsidR="0019104D" w:rsidRPr="00D24DA4" w:rsidRDefault="005F4671" w:rsidP="00C14F4C">
      <w:pPr>
        <w:pStyle w:val="Title"/>
        <w:pBdr>
          <w:bottom w:val="single" w:sz="8" w:space="0" w:color="4F81BD"/>
        </w:pBdr>
        <w:tabs>
          <w:tab w:val="left" w:pos="1620"/>
        </w:tabs>
        <w:ind w:left="1627" w:right="270"/>
        <w:rPr>
          <w:b/>
          <w:bCs/>
          <w:sz w:val="24"/>
          <w:szCs w:val="24"/>
        </w:rPr>
      </w:pPr>
      <w:bookmarkStart w:id="0" w:name="_GoBack"/>
      <w:bookmarkEnd w:id="0"/>
      <w:r>
        <w:rPr>
          <w:b/>
          <w:bCs/>
          <w:sz w:val="24"/>
          <w:szCs w:val="24"/>
        </w:rPr>
        <w:t xml:space="preserve">UPDATED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sidR="009D0FBF">
        <w:rPr>
          <w:color w:val="auto"/>
          <w:sz w:val="24"/>
          <w:szCs w:val="24"/>
        </w:rPr>
        <w:t>September 25</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sidR="009D0FBF">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5521E5" w:rsidRDefault="003E1987" w:rsidP="005F4671">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005F4671">
        <w:rPr>
          <w:rFonts w:asciiTheme="minorHAnsi" w:hAnsiTheme="minorHAnsi"/>
          <w:b/>
        </w:rPr>
        <w:t>There are no meeting minutes to approve.</w:t>
      </w: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C80053"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C80053"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2E1104" w:rsidRDefault="005521E5" w:rsidP="002E1104">
      <w:pPr>
        <w:ind w:left="2160" w:hanging="1620"/>
        <w:rPr>
          <w:rFonts w:eastAsiaTheme="minorHAnsi"/>
        </w:rPr>
      </w:pPr>
      <w:r>
        <w:rPr>
          <w:rFonts w:asciiTheme="minorHAnsi" w:hAnsiTheme="minorHAnsi"/>
          <w:b/>
        </w:rPr>
        <w:t>1.</w:t>
      </w:r>
      <w:r w:rsidR="00C80053" w:rsidRPr="00C80053">
        <w:rPr>
          <w:rFonts w:asciiTheme="minorHAnsi" w:hAnsiTheme="minorHAnsi" w:cstheme="minorHAnsi"/>
          <w:b/>
        </w:rPr>
        <w:t xml:space="preserve"> </w:t>
      </w:r>
      <w:sdt>
        <w:sdtPr>
          <w:rPr>
            <w:rFonts w:asciiTheme="minorHAnsi" w:hAnsiTheme="minorHAnsi" w:cstheme="minorHAnsi"/>
            <w:b/>
          </w:rPr>
          <w:id w:val="270848715"/>
          <w:text w:multiLine="1"/>
        </w:sdtPr>
        <w:sdtEndPr/>
        <w:sdtContent>
          <w:r w:rsidR="00C80053">
            <w:rPr>
              <w:rFonts w:asciiTheme="minorHAnsi" w:hAnsiTheme="minorHAnsi" w:cstheme="minorHAnsi"/>
              <w:b/>
            </w:rPr>
            <w:t xml:space="preserve">  </w:t>
          </w:r>
          <w:r w:rsidR="00C80053" w:rsidRPr="002E1104">
            <w:rPr>
              <w:rFonts w:asciiTheme="minorHAnsi" w:hAnsiTheme="minorHAnsi" w:cstheme="minorHAnsi"/>
              <w:b/>
            </w:rPr>
            <w:t>CUP# 2018-09</w:t>
          </w:r>
        </w:sdtContent>
      </w:sdt>
      <w:r w:rsidR="00C80053" w:rsidRPr="002E1104">
        <w:rPr>
          <w:rFonts w:asciiTheme="minorHAnsi" w:hAnsiTheme="minorHAnsi" w:cstheme="minorHAnsi"/>
          <w:b/>
        </w:rPr>
        <w:t xml:space="preserve">:   </w:t>
      </w:r>
      <w:r w:rsidR="002E1104" w:rsidRPr="002E1104">
        <w:rPr>
          <w:rFonts w:asciiTheme="minorHAnsi" w:hAnsiTheme="minorHAnsi" w:cstheme="minorHAnsi"/>
          <w:b/>
        </w:rPr>
        <w:t>Consideration and action on a conditional use permit application for a private recreational facility</w:t>
      </w:r>
      <w:r w:rsidR="001B2918">
        <w:rPr>
          <w:rFonts w:asciiTheme="minorHAnsi" w:hAnsiTheme="minorHAnsi" w:cstheme="minorHAnsi"/>
          <w:b/>
        </w:rPr>
        <w:t xml:space="preserve"> in the Forest 40 (F-40) Zone;</w:t>
      </w:r>
      <w:r w:rsidR="002E1104" w:rsidRPr="002E1104">
        <w:rPr>
          <w:rFonts w:asciiTheme="minorHAnsi" w:hAnsiTheme="minorHAnsi" w:cstheme="minorHAnsi"/>
          <w:b/>
        </w:rPr>
        <w:t xml:space="preserve"> located at approximately 4798 N Middle Fork Drive, Huntsville.</w:t>
      </w:r>
      <w:r w:rsidR="001B2918">
        <w:rPr>
          <w:rFonts w:asciiTheme="minorHAnsi" w:hAnsiTheme="minorHAnsi" w:cstheme="minorHAnsi"/>
          <w:b/>
        </w:rPr>
        <w:t xml:space="preserve">  (Prometheus Utah Land Holdings LLC, Applicant; Carson Jones, Agent)</w:t>
      </w:r>
    </w:p>
    <w:p w:rsidR="005521E5" w:rsidRDefault="005521E5" w:rsidP="00163787">
      <w:pPr>
        <w:pStyle w:val="ListParagraph"/>
        <w:tabs>
          <w:tab w:val="left" w:pos="540"/>
          <w:tab w:val="left" w:pos="810"/>
          <w:tab w:val="left" w:pos="4320"/>
          <w:tab w:val="left" w:pos="5760"/>
        </w:tabs>
        <w:ind w:left="2160" w:hanging="2160"/>
        <w:jc w:val="both"/>
        <w:rPr>
          <w:rFonts w:asciiTheme="minorHAnsi" w:hAnsiTheme="minorHAnsi"/>
          <w:b/>
        </w:rPr>
      </w:pPr>
    </w:p>
    <w:p w:rsidR="000178EC" w:rsidRDefault="00C80053" w:rsidP="00C80053">
      <w:pPr>
        <w:pStyle w:val="ListParagraph"/>
        <w:tabs>
          <w:tab w:val="left" w:pos="540"/>
          <w:tab w:val="left" w:pos="810"/>
          <w:tab w:val="left" w:pos="4320"/>
          <w:tab w:val="left" w:pos="5760"/>
        </w:tabs>
        <w:ind w:left="2160" w:hanging="216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C80053"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CD2351" w:rsidRDefault="00C80053"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F717F0" w:rsidRDefault="00C80053" w:rsidP="00F01B81">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C80053" w:rsidRDefault="00C80053" w:rsidP="00CD2351">
      <w:pPr>
        <w:pStyle w:val="Info"/>
        <w:tabs>
          <w:tab w:val="clear" w:pos="2640"/>
          <w:tab w:val="left" w:pos="0"/>
          <w:tab w:val="left" w:pos="360"/>
          <w:tab w:val="left" w:pos="1320"/>
          <w:tab w:val="left" w:pos="2520"/>
        </w:tabs>
        <w:ind w:left="0"/>
        <w:jc w:val="both"/>
        <w:rPr>
          <w:b/>
        </w:rPr>
      </w:pPr>
      <w:r>
        <w:rPr>
          <w:b/>
        </w:rPr>
        <w:t>7</w:t>
      </w:r>
      <w:r w:rsidR="00CD2351">
        <w:rPr>
          <w:b/>
        </w:rPr>
        <w:t>.</w:t>
      </w:r>
      <w:r w:rsidR="00CD2351">
        <w:rPr>
          <w:b/>
        </w:rPr>
        <w:tab/>
        <w:t xml:space="preserve">    Adjournment:</w:t>
      </w: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7807" w:rsidRDefault="001B7807" w:rsidP="00CD2351">
      <w:pPr>
        <w:pStyle w:val="Info"/>
        <w:tabs>
          <w:tab w:val="clear" w:pos="2640"/>
          <w:tab w:val="left" w:pos="0"/>
          <w:tab w:val="left" w:pos="360"/>
          <w:tab w:val="left" w:pos="1320"/>
          <w:tab w:val="left" w:pos="2520"/>
        </w:tabs>
        <w:ind w:left="0"/>
        <w:jc w:val="both"/>
        <w:rPr>
          <w:rFonts w:cstheme="minorHAnsi"/>
          <w:b/>
          <w:bCs/>
        </w:rPr>
      </w:pPr>
      <w:r>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3E" w:rsidRDefault="00D8593E" w:rsidP="00BD1C68">
      <w:r>
        <w:separator/>
      </w:r>
    </w:p>
  </w:endnote>
  <w:endnote w:type="continuationSeparator" w:id="0">
    <w:p w:rsidR="00D8593E" w:rsidRDefault="00D8593E"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3E" w:rsidRDefault="00D8593E" w:rsidP="00BD1C68">
      <w:r>
        <w:separator/>
      </w:r>
    </w:p>
  </w:footnote>
  <w:footnote w:type="continuationSeparator" w:id="0">
    <w:p w:rsidR="00D8593E" w:rsidRDefault="00D8593E"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2918"/>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759"/>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104"/>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304"/>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4671"/>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0FBF"/>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05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55A0"/>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8593E"/>
    <w:rsid w:val="00D93802"/>
    <w:rsid w:val="00D94246"/>
    <w:rsid w:val="00D970D2"/>
    <w:rsid w:val="00DA0429"/>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1D62"/>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363D"/>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1978221101">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54D7-F66A-4926-8FB4-3B613305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4</cp:revision>
  <cp:lastPrinted>2018-09-25T21:15:00Z</cp:lastPrinted>
  <dcterms:created xsi:type="dcterms:W3CDTF">2018-09-25T21:15:00Z</dcterms:created>
  <dcterms:modified xsi:type="dcterms:W3CDTF">2018-09-25T21:36:00Z</dcterms:modified>
</cp:coreProperties>
</file>